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9A6" w:rsidRPr="00F749A6" w:rsidRDefault="00F749A6" w:rsidP="00F749A6">
      <w:pPr>
        <w:shd w:val="clear" w:color="auto" w:fill="FFFFFF"/>
        <w:spacing w:line="264" w:lineRule="atLeast"/>
        <w:outlineLvl w:val="0"/>
        <w:rPr>
          <w:rFonts w:ascii="Arial" w:eastAsia="Times New Roman" w:hAnsi="Arial" w:cs="Arial"/>
          <w:b/>
          <w:bCs/>
          <w:color w:val="000000"/>
          <w:kern w:val="36"/>
          <w:sz w:val="48"/>
          <w:szCs w:val="48"/>
          <w:lang w:eastAsia="ru-RU"/>
        </w:rPr>
      </w:pPr>
      <w:r w:rsidRPr="00F749A6">
        <w:rPr>
          <w:rFonts w:ascii="Arial" w:eastAsia="Times New Roman" w:hAnsi="Arial" w:cs="Arial"/>
          <w:b/>
          <w:bCs/>
          <w:color w:val="000000"/>
          <w:kern w:val="36"/>
          <w:sz w:val="48"/>
          <w:szCs w:val="48"/>
          <w:lang w:eastAsia="ru-RU"/>
        </w:rPr>
        <w:t>Поступающим с иностранными документами</w:t>
      </w:r>
    </w:p>
    <w:p w:rsidR="00F749A6" w:rsidRPr="00F749A6" w:rsidRDefault="00F749A6" w:rsidP="00F749A6">
      <w:pPr>
        <w:shd w:val="clear" w:color="auto" w:fill="FFFFFF"/>
        <w:spacing w:after="0" w:line="240" w:lineRule="auto"/>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Если Вы являетесь иностранным гражданином либо обладателем иностранного документа об образовании (вне зависимости от Вашего гражданства), то в данном разделе Вы найдёте важную и полезную для себя информацию. Рекомендуем последовательно и внимательно изучить следующие статьи:</w:t>
      </w:r>
    </w:p>
    <w:p w:rsidR="00F749A6" w:rsidRPr="00F749A6" w:rsidRDefault="00F749A6" w:rsidP="00F749A6">
      <w:pPr>
        <w:numPr>
          <w:ilvl w:val="0"/>
          <w:numId w:val="1"/>
        </w:numPr>
        <w:shd w:val="clear" w:color="auto" w:fill="FFFFFF"/>
        <w:spacing w:beforeAutospacing="1" w:after="0" w:afterAutospacing="1" w:line="360" w:lineRule="atLeast"/>
        <w:ind w:left="0"/>
        <w:rPr>
          <w:rFonts w:ascii="Calibri" w:eastAsia="Times New Roman" w:hAnsi="Calibri" w:cs="Calibri"/>
          <w:color w:val="000000"/>
          <w:sz w:val="24"/>
          <w:szCs w:val="24"/>
          <w:lang w:eastAsia="ru-RU"/>
        </w:rPr>
      </w:pPr>
      <w:hyperlink r:id="rId5" w:history="1">
        <w:r w:rsidRPr="00F749A6">
          <w:rPr>
            <w:rFonts w:ascii="Calibri" w:eastAsia="Times New Roman" w:hAnsi="Calibri" w:cs="Calibri"/>
            <w:color w:val="0072BA"/>
            <w:sz w:val="24"/>
            <w:szCs w:val="24"/>
            <w:bdr w:val="none" w:sz="0" w:space="0" w:color="auto" w:frame="1"/>
            <w:lang w:eastAsia="ru-RU"/>
          </w:rPr>
          <w:t>Поступление на бюджетные места</w:t>
        </w:r>
      </w:hyperlink>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Возможность обучения на бюджетных местах определяется гражданством поступающего. Наряду с гражданами Российской Федерации в конкурсе на бюджетные места могут участвовать:</w:t>
      </w:r>
    </w:p>
    <w:tbl>
      <w:tblPr>
        <w:tblW w:w="10490" w:type="dxa"/>
        <w:tblInd w:w="-1001" w:type="dxa"/>
        <w:tblCellMar>
          <w:left w:w="0" w:type="dxa"/>
          <w:right w:w="0" w:type="dxa"/>
        </w:tblCellMar>
        <w:tblLook w:val="04A0" w:firstRow="1" w:lastRow="0" w:firstColumn="1" w:lastColumn="0" w:noHBand="0" w:noVBand="1"/>
      </w:tblPr>
      <w:tblGrid>
        <w:gridCol w:w="1643"/>
        <w:gridCol w:w="2752"/>
        <w:gridCol w:w="6095"/>
      </w:tblGrid>
      <w:tr w:rsidR="00F749A6" w:rsidRPr="00F749A6" w:rsidTr="00F749A6">
        <w:tc>
          <w:tcPr>
            <w:tcW w:w="0" w:type="auto"/>
            <w:tcBorders>
              <w:top w:val="single" w:sz="6" w:space="0" w:color="D8D8D8"/>
              <w:left w:val="single" w:sz="6" w:space="0" w:color="D8D8D8"/>
              <w:bottom w:val="single" w:sz="6" w:space="0" w:color="D8D8D8"/>
              <w:right w:val="single" w:sz="6" w:space="0" w:color="D8D8D8"/>
            </w:tcBorders>
            <w:shd w:val="clear" w:color="auto" w:fill="EEEFF0"/>
            <w:tcMar>
              <w:top w:w="150" w:type="dxa"/>
              <w:left w:w="150" w:type="dxa"/>
              <w:bottom w:w="150" w:type="dxa"/>
              <w:right w:w="150" w:type="dxa"/>
            </w:tcMar>
            <w:vAlign w:val="center"/>
            <w:hideMark/>
          </w:tcPr>
          <w:p w:rsidR="00F749A6" w:rsidRPr="00F749A6" w:rsidRDefault="00F749A6" w:rsidP="00F749A6">
            <w:pPr>
              <w:spacing w:after="0" w:line="336" w:lineRule="atLeast"/>
              <w:jc w:val="center"/>
              <w:rPr>
                <w:rFonts w:ascii="Times New Roman" w:eastAsia="Times New Roman" w:hAnsi="Times New Roman" w:cs="Times New Roman"/>
                <w:b/>
                <w:bCs/>
                <w:sz w:val="21"/>
                <w:szCs w:val="21"/>
                <w:lang w:eastAsia="ru-RU"/>
              </w:rPr>
            </w:pPr>
            <w:r w:rsidRPr="00F749A6">
              <w:rPr>
                <w:rFonts w:ascii="Times New Roman" w:eastAsia="Times New Roman" w:hAnsi="Times New Roman" w:cs="Times New Roman"/>
                <w:b/>
                <w:bCs/>
                <w:sz w:val="21"/>
                <w:szCs w:val="21"/>
                <w:lang w:eastAsia="ru-RU"/>
              </w:rPr>
              <w:t>Гражданство</w:t>
            </w:r>
          </w:p>
        </w:tc>
        <w:tc>
          <w:tcPr>
            <w:tcW w:w="2752" w:type="dxa"/>
            <w:tcBorders>
              <w:top w:val="single" w:sz="6" w:space="0" w:color="D8D8D8"/>
              <w:left w:val="single" w:sz="6" w:space="0" w:color="D8D8D8"/>
              <w:bottom w:val="single" w:sz="6" w:space="0" w:color="D8D8D8"/>
              <w:right w:val="single" w:sz="6" w:space="0" w:color="D8D8D8"/>
            </w:tcBorders>
            <w:shd w:val="clear" w:color="auto" w:fill="EEEFF0"/>
            <w:tcMar>
              <w:top w:w="150" w:type="dxa"/>
              <w:left w:w="150" w:type="dxa"/>
              <w:bottom w:w="150" w:type="dxa"/>
              <w:right w:w="150" w:type="dxa"/>
            </w:tcMar>
            <w:vAlign w:val="center"/>
            <w:hideMark/>
          </w:tcPr>
          <w:p w:rsidR="00F749A6" w:rsidRPr="00F749A6" w:rsidRDefault="00F749A6" w:rsidP="00F749A6">
            <w:pPr>
              <w:spacing w:after="0" w:line="336" w:lineRule="atLeast"/>
              <w:jc w:val="center"/>
              <w:rPr>
                <w:rFonts w:ascii="Times New Roman" w:eastAsia="Times New Roman" w:hAnsi="Times New Roman" w:cs="Times New Roman"/>
                <w:b/>
                <w:bCs/>
                <w:sz w:val="21"/>
                <w:szCs w:val="21"/>
                <w:lang w:eastAsia="ru-RU"/>
              </w:rPr>
            </w:pPr>
            <w:r w:rsidRPr="00F749A6">
              <w:rPr>
                <w:rFonts w:ascii="Times New Roman" w:eastAsia="Times New Roman" w:hAnsi="Times New Roman" w:cs="Times New Roman"/>
                <w:b/>
                <w:bCs/>
                <w:sz w:val="21"/>
                <w:szCs w:val="21"/>
                <w:lang w:eastAsia="ru-RU"/>
              </w:rPr>
              <w:t>Категория лиц</w:t>
            </w:r>
          </w:p>
        </w:tc>
        <w:tc>
          <w:tcPr>
            <w:tcW w:w="6095" w:type="dxa"/>
            <w:tcBorders>
              <w:top w:val="single" w:sz="6" w:space="0" w:color="D8D8D8"/>
              <w:left w:val="single" w:sz="6" w:space="0" w:color="D8D8D8"/>
              <w:bottom w:val="single" w:sz="6" w:space="0" w:color="D8D8D8"/>
              <w:right w:val="single" w:sz="6" w:space="0" w:color="D8D8D8"/>
            </w:tcBorders>
            <w:shd w:val="clear" w:color="auto" w:fill="EEEFF0"/>
            <w:tcMar>
              <w:top w:w="150" w:type="dxa"/>
              <w:left w:w="150" w:type="dxa"/>
              <w:bottom w:w="150" w:type="dxa"/>
              <w:right w:w="150" w:type="dxa"/>
            </w:tcMar>
            <w:vAlign w:val="center"/>
            <w:hideMark/>
          </w:tcPr>
          <w:p w:rsidR="00F749A6" w:rsidRPr="00F749A6" w:rsidRDefault="00F749A6" w:rsidP="00F749A6">
            <w:pPr>
              <w:spacing w:after="0" w:line="336" w:lineRule="atLeast"/>
              <w:jc w:val="center"/>
              <w:rPr>
                <w:rFonts w:ascii="Times New Roman" w:eastAsia="Times New Roman" w:hAnsi="Times New Roman" w:cs="Times New Roman"/>
                <w:b/>
                <w:bCs/>
                <w:sz w:val="21"/>
                <w:szCs w:val="21"/>
                <w:lang w:eastAsia="ru-RU"/>
              </w:rPr>
            </w:pPr>
            <w:r w:rsidRPr="00F749A6">
              <w:rPr>
                <w:rFonts w:ascii="Times New Roman" w:eastAsia="Times New Roman" w:hAnsi="Times New Roman" w:cs="Times New Roman"/>
                <w:b/>
                <w:bCs/>
                <w:sz w:val="21"/>
                <w:szCs w:val="21"/>
                <w:lang w:eastAsia="ru-RU"/>
              </w:rPr>
              <w:t>Основание</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Азербайджан</w:t>
            </w:r>
          </w:p>
        </w:tc>
        <w:tc>
          <w:tcPr>
            <w:tcW w:w="2752"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Лица, проживающие в Российской Федерации</w:t>
            </w:r>
            <w:r w:rsidRPr="00F749A6">
              <w:rPr>
                <w:rFonts w:ascii="Times New Roman" w:eastAsia="Times New Roman" w:hAnsi="Times New Roman" w:cs="Times New Roman"/>
                <w:sz w:val="21"/>
                <w:szCs w:val="21"/>
                <w:lang w:eastAsia="ru-RU"/>
              </w:rPr>
              <w:br/>
              <w:t>(получившие разрешение на временное проживание либо вид на жительство)</w:t>
            </w:r>
          </w:p>
        </w:tc>
        <w:tc>
          <w:tcPr>
            <w:tcW w:w="6095"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между Правительством Российской Федерации и Правительством Азербайджанской Республики о культурном и научном сотрудничестве, статья 16 (06 июня 1995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Армения</w:t>
            </w:r>
          </w:p>
        </w:tc>
        <w:tc>
          <w:tcPr>
            <w:tcW w:w="2752"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Лица, постоянно проживающие в Российской Федерации (получившие вид на жительство)</w:t>
            </w:r>
          </w:p>
        </w:tc>
        <w:tc>
          <w:tcPr>
            <w:tcW w:w="6095"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о сотрудничестве в области образования, статья 1 (Ташкент, 15 мая 1992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Белоруссия</w:t>
            </w:r>
          </w:p>
        </w:tc>
        <w:tc>
          <w:tcPr>
            <w:tcW w:w="2752"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Все категории</w:t>
            </w:r>
          </w:p>
        </w:tc>
        <w:tc>
          <w:tcPr>
            <w:tcW w:w="6095"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на поступление в учебные заведения, статья 1 (Москва, 24 ноября 1998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Грузия</w:t>
            </w:r>
          </w:p>
        </w:tc>
        <w:tc>
          <w:tcPr>
            <w:tcW w:w="2752"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Лица, проживающие в Российской Федерации</w:t>
            </w:r>
            <w:r w:rsidRPr="00F749A6">
              <w:rPr>
                <w:rFonts w:ascii="Times New Roman" w:eastAsia="Times New Roman" w:hAnsi="Times New Roman" w:cs="Times New Roman"/>
                <w:sz w:val="21"/>
                <w:szCs w:val="21"/>
                <w:lang w:eastAsia="ru-RU"/>
              </w:rPr>
              <w:br/>
              <w:t>(получившие разрешение на временное проживание либо вид на жительство)</w:t>
            </w:r>
          </w:p>
        </w:tc>
        <w:tc>
          <w:tcPr>
            <w:tcW w:w="6095"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между Правительством Российской Федерации и Правительством Республики Грузия о сотрудничестве в области культуры, науки и образования, статья 17 (03 февраля 1994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Казахстан</w:t>
            </w:r>
          </w:p>
        </w:tc>
        <w:tc>
          <w:tcPr>
            <w:tcW w:w="2752"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Все категории</w:t>
            </w:r>
          </w:p>
        </w:tc>
        <w:tc>
          <w:tcPr>
            <w:tcW w:w="6095"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 xml:space="preserve">Соглашение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w:t>
            </w:r>
            <w:r w:rsidRPr="00F749A6">
              <w:rPr>
                <w:rFonts w:ascii="Times New Roman" w:eastAsia="Times New Roman" w:hAnsi="Times New Roman" w:cs="Times New Roman"/>
                <w:sz w:val="21"/>
                <w:szCs w:val="21"/>
                <w:lang w:eastAsia="ru-RU"/>
              </w:rPr>
              <w:lastRenderedPageBreak/>
              <w:t>на поступление в учебные заведения, статья 1 (Москва, 24 ноября 1998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lastRenderedPageBreak/>
              <w:t>Киргизия</w:t>
            </w:r>
          </w:p>
        </w:tc>
        <w:tc>
          <w:tcPr>
            <w:tcW w:w="2752"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Все категории</w:t>
            </w:r>
          </w:p>
        </w:tc>
        <w:tc>
          <w:tcPr>
            <w:tcW w:w="6095"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на поступление в учебные заведения, статья 1 (Москва, 24 ноября 1998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Молдавия</w:t>
            </w:r>
          </w:p>
        </w:tc>
        <w:tc>
          <w:tcPr>
            <w:tcW w:w="2752"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Лица, постоянно проживающие в Российской Федерации (получившие вид на жительство)</w:t>
            </w:r>
          </w:p>
        </w:tc>
        <w:tc>
          <w:tcPr>
            <w:tcW w:w="6095"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о сотрудничестве в области образования, статья 1 (Ташкент, 15 мая 1992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Таджикистан</w:t>
            </w:r>
          </w:p>
        </w:tc>
        <w:tc>
          <w:tcPr>
            <w:tcW w:w="2752"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Все категории</w:t>
            </w:r>
          </w:p>
        </w:tc>
        <w:tc>
          <w:tcPr>
            <w:tcW w:w="6095"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на поступление в учебные заведения, статья 1 (Москва, 24 ноября 1998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Туркмения</w:t>
            </w:r>
          </w:p>
        </w:tc>
        <w:tc>
          <w:tcPr>
            <w:tcW w:w="2752"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Лица, проживающие в Российской Федерации</w:t>
            </w:r>
            <w:r w:rsidRPr="00F749A6">
              <w:rPr>
                <w:rFonts w:ascii="Times New Roman" w:eastAsia="Times New Roman" w:hAnsi="Times New Roman" w:cs="Times New Roman"/>
                <w:sz w:val="21"/>
                <w:szCs w:val="21"/>
                <w:lang w:eastAsia="ru-RU"/>
              </w:rPr>
              <w:br/>
              <w:t>(получившие разрешение на временное проживание либо вид на жительство)</w:t>
            </w:r>
          </w:p>
        </w:tc>
        <w:tc>
          <w:tcPr>
            <w:tcW w:w="6095"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между Правительством Российской Федерации и Правительством Туркменистана о сотрудничестве в области культуры, образования и науки, статья 13 (18 мая 1995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Узбекистан</w:t>
            </w:r>
          </w:p>
        </w:tc>
        <w:tc>
          <w:tcPr>
            <w:tcW w:w="2752"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Лица, постоянно проживающие в Российской Федерации (получившие вид на жительство)</w:t>
            </w:r>
          </w:p>
        </w:tc>
        <w:tc>
          <w:tcPr>
            <w:tcW w:w="6095"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о сотрудничестве в области образования, статья 1 (Ташкент, 15 мая 1992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Эстония</w:t>
            </w:r>
          </w:p>
        </w:tc>
        <w:tc>
          <w:tcPr>
            <w:tcW w:w="2752"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Лица, проживающие в Российской Федерации</w:t>
            </w:r>
            <w:r w:rsidRPr="00F749A6">
              <w:rPr>
                <w:rFonts w:ascii="Times New Roman" w:eastAsia="Times New Roman" w:hAnsi="Times New Roman" w:cs="Times New Roman"/>
                <w:sz w:val="21"/>
                <w:szCs w:val="21"/>
                <w:lang w:eastAsia="ru-RU"/>
              </w:rPr>
              <w:br/>
              <w:t>(получившие разрешение на временное проживание либо вид на жительство)</w:t>
            </w:r>
          </w:p>
        </w:tc>
        <w:tc>
          <w:tcPr>
            <w:tcW w:w="6095"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Соглашение между Правительством Российской Федерации и Правительством Эстонской Республики о сотрудничестве в области образования, статья 4 (21 октября 1994 года)</w:t>
            </w:r>
          </w:p>
        </w:tc>
      </w:tr>
      <w:tr w:rsidR="00F749A6" w:rsidRPr="00F749A6" w:rsidTr="00F749A6">
        <w:tc>
          <w:tcPr>
            <w:tcW w:w="0" w:type="auto"/>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Иные государства</w:t>
            </w:r>
          </w:p>
        </w:tc>
        <w:tc>
          <w:tcPr>
            <w:tcW w:w="2752"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Лица, подпадающие под категорию соотечественников</w:t>
            </w:r>
          </w:p>
        </w:tc>
        <w:tc>
          <w:tcPr>
            <w:tcW w:w="6095"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F749A6" w:rsidRPr="00F749A6" w:rsidRDefault="00F749A6" w:rsidP="00F749A6">
            <w:pPr>
              <w:spacing w:after="0" w:line="336" w:lineRule="atLeast"/>
              <w:rPr>
                <w:rFonts w:ascii="Times New Roman" w:eastAsia="Times New Roman" w:hAnsi="Times New Roman" w:cs="Times New Roman"/>
                <w:sz w:val="21"/>
                <w:szCs w:val="21"/>
                <w:lang w:eastAsia="ru-RU"/>
              </w:rPr>
            </w:pPr>
            <w:r w:rsidRPr="00F749A6">
              <w:rPr>
                <w:rFonts w:ascii="Times New Roman" w:eastAsia="Times New Roman" w:hAnsi="Times New Roman" w:cs="Times New Roman"/>
                <w:sz w:val="21"/>
                <w:szCs w:val="21"/>
                <w:lang w:eastAsia="ru-RU"/>
              </w:rPr>
              <w:t>Федеральный закон "О государственной политике Российской Федерации в отношении соотечественников за рубежом" от 24 мая 1999 года № 99-ФЗ</w:t>
            </w:r>
          </w:p>
        </w:tc>
      </w:tr>
    </w:tbl>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lastRenderedPageBreak/>
        <w:t>Пост</w:t>
      </w:r>
      <w:r w:rsidRPr="00F749A6">
        <w:rPr>
          <w:rFonts w:ascii="Calibri" w:eastAsia="Times New Roman" w:hAnsi="Calibri" w:cs="Calibri"/>
          <w:color w:val="000000"/>
          <w:sz w:val="24"/>
          <w:szCs w:val="24"/>
          <w:bdr w:val="none" w:sz="0" w:space="0" w:color="auto" w:frame="1"/>
          <w:lang w:eastAsia="ru-RU"/>
        </w:rPr>
        <w:t>оянно проживающий в Российской Федерации иностранный гражданин - лицо, получившее вид на жительство (Федеральный закон "О правовом положении иностранных граждан в Российской Федерации" от 25 июля 2002 года № 115-ФЗ, статья 2).</w:t>
      </w:r>
    </w:p>
    <w:p w:rsidR="00F749A6" w:rsidRPr="00F749A6" w:rsidRDefault="00F749A6" w:rsidP="00F749A6">
      <w:pPr>
        <w:shd w:val="clear" w:color="auto" w:fill="FFFFFF"/>
        <w:spacing w:after="0" w:line="288" w:lineRule="atLeast"/>
        <w:outlineLvl w:val="2"/>
        <w:rPr>
          <w:rFonts w:ascii="Times New Roman" w:eastAsia="Times New Roman" w:hAnsi="Times New Roman" w:cs="Times New Roman"/>
          <w:b/>
          <w:bCs/>
          <w:color w:val="000000"/>
          <w:sz w:val="30"/>
          <w:szCs w:val="30"/>
          <w:lang w:eastAsia="ru-RU"/>
        </w:rPr>
      </w:pPr>
      <w:r w:rsidRPr="00F749A6">
        <w:rPr>
          <w:rFonts w:ascii="Times New Roman" w:eastAsia="Times New Roman" w:hAnsi="Times New Roman" w:cs="Times New Roman"/>
          <w:b/>
          <w:bCs/>
          <w:color w:val="000000"/>
          <w:sz w:val="30"/>
          <w:szCs w:val="30"/>
          <w:lang w:eastAsia="ru-RU"/>
        </w:rPr>
        <w:t>Соотечественники</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u w:val="single"/>
          <w:bdr w:val="none" w:sz="0" w:space="0" w:color="auto" w:frame="1"/>
          <w:lang w:eastAsia="ru-RU"/>
        </w:rPr>
        <w:t>Из статьи 1 Федерального закона "О государственной политике Российской Федерации в отношении соотечественников за рубежом" от 24 мая 1999 № 99-ФЗ:</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Соотечественниками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w:t>
      </w:r>
    </w:p>
    <w:p w:rsidR="00F749A6" w:rsidRPr="00F749A6" w:rsidRDefault="00F749A6" w:rsidP="00F749A6">
      <w:pPr>
        <w:numPr>
          <w:ilvl w:val="1"/>
          <w:numId w:val="1"/>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w:t>
      </w:r>
    </w:p>
    <w:p w:rsidR="00F749A6" w:rsidRPr="00F749A6" w:rsidRDefault="00F749A6" w:rsidP="00F749A6">
      <w:pPr>
        <w:numPr>
          <w:ilvl w:val="1"/>
          <w:numId w:val="1"/>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u w:val="single"/>
          <w:bdr w:val="none" w:sz="0" w:space="0" w:color="auto" w:frame="1"/>
          <w:lang w:eastAsia="ru-RU"/>
        </w:rPr>
        <w:t>Из статьи 17 Федерального закона "О государственной политике Российской Федерации в отношении соотечественников за рубежом" от 24 мая 1999 № 99-ФЗ:</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Если иное не установлено федеральными законами, при приеме на обучение по имеющим государственную аккредитацию образовательным программам соотечественникам, не являющимся гражданами Российской Федерации, предоставляется наравне с гражданами Российской Федерации право на доступ к образованию при условии представления ими документов или иных доказательств, подтверждающих соответственно:</w:t>
      </w:r>
    </w:p>
    <w:p w:rsidR="00F749A6" w:rsidRPr="00F749A6" w:rsidRDefault="00F749A6" w:rsidP="00F749A6">
      <w:pPr>
        <w:numPr>
          <w:ilvl w:val="1"/>
          <w:numId w:val="1"/>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гражданство СССР, гражданскую принадлежность или отсутствие таковой на момент предъявления - для лиц, состоявших в гражданстве СССР;</w:t>
      </w:r>
    </w:p>
    <w:p w:rsidR="00F749A6" w:rsidRPr="00F749A6" w:rsidRDefault="00F749A6" w:rsidP="00F749A6">
      <w:pPr>
        <w:numPr>
          <w:ilvl w:val="1"/>
          <w:numId w:val="1"/>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проживание в прошлом на территории Российского государства, Российской республики, РСФСР, СССР или Российской Федерации, соответствующую гражданскую принадлежность при выезде с этой территории и гражданскую принадлежность или отсутствие таковой на момент предъявления - для выходцев (эмигрантов);</w:t>
      </w:r>
    </w:p>
    <w:p w:rsidR="00F749A6" w:rsidRPr="00F749A6" w:rsidRDefault="00F749A6" w:rsidP="00F749A6">
      <w:pPr>
        <w:numPr>
          <w:ilvl w:val="1"/>
          <w:numId w:val="1"/>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родство по прямой восходящей линии с указанными лицами - для потомков соотечественников;</w:t>
      </w:r>
    </w:p>
    <w:p w:rsidR="00F749A6" w:rsidRPr="00F749A6" w:rsidRDefault="00F749A6" w:rsidP="00F749A6">
      <w:pPr>
        <w:numPr>
          <w:ilvl w:val="1"/>
          <w:numId w:val="1"/>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проживание за рубежом - для всех указанных лиц.</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 xml:space="preserve">При этом на соотечественников, не являющихся гражданами Российской Федерации, не распространяются особые права при приеме на обучение по имеющим государственную аккредитацию программам бакалавриата и программам </w:t>
      </w:r>
      <w:proofErr w:type="spellStart"/>
      <w:r w:rsidRPr="00F749A6">
        <w:rPr>
          <w:rFonts w:ascii="Calibri" w:eastAsia="Times New Roman" w:hAnsi="Calibri" w:cs="Calibri"/>
          <w:color w:val="000000"/>
          <w:sz w:val="24"/>
          <w:szCs w:val="24"/>
          <w:lang w:eastAsia="ru-RU"/>
        </w:rPr>
        <w:t>специалитета</w:t>
      </w:r>
      <w:proofErr w:type="spellEnd"/>
      <w:r w:rsidRPr="00F749A6">
        <w:rPr>
          <w:rFonts w:ascii="Calibri" w:eastAsia="Times New Roman" w:hAnsi="Calibri" w:cs="Calibri"/>
          <w:color w:val="000000"/>
          <w:sz w:val="24"/>
          <w:szCs w:val="24"/>
          <w:lang w:eastAsia="ru-RU"/>
        </w:rPr>
        <w:t xml:space="preserve">, предоставляемые отдельным категориям граждан Российской Федерации в соответствии с Федеральным </w:t>
      </w:r>
      <w:r w:rsidRPr="00F749A6">
        <w:rPr>
          <w:rFonts w:ascii="Calibri" w:eastAsia="Times New Roman" w:hAnsi="Calibri" w:cs="Calibri"/>
          <w:color w:val="000000"/>
          <w:sz w:val="24"/>
          <w:szCs w:val="24"/>
          <w:lang w:eastAsia="ru-RU"/>
        </w:rPr>
        <w:lastRenderedPageBreak/>
        <w:t>законом от 29 декабря 2012 года № 273-ФЗ "Об образовании в Российской Федерации", если иное не предусмотрено международным договором Российской Федерации.</w:t>
      </w:r>
    </w:p>
    <w:p w:rsidR="00F749A6" w:rsidRPr="00F749A6" w:rsidRDefault="00F749A6" w:rsidP="00F749A6">
      <w:pPr>
        <w:spacing w:after="0" w:line="240" w:lineRule="auto"/>
        <w:rPr>
          <w:rFonts w:ascii="Times New Roman" w:eastAsia="Times New Roman" w:hAnsi="Times New Roman" w:cs="Times New Roman"/>
          <w:sz w:val="24"/>
          <w:szCs w:val="24"/>
          <w:lang w:eastAsia="ru-RU"/>
        </w:rPr>
      </w:pPr>
      <w:r w:rsidRPr="00F749A6">
        <w:rPr>
          <w:rFonts w:ascii="Calibri" w:eastAsia="Times New Roman" w:hAnsi="Calibri" w:cs="Calibri"/>
          <w:color w:val="000000"/>
          <w:sz w:val="24"/>
          <w:szCs w:val="24"/>
          <w:lang w:eastAsia="ru-RU"/>
        </w:rPr>
        <w:br/>
      </w:r>
    </w:p>
    <w:p w:rsidR="00F749A6" w:rsidRPr="00F749A6" w:rsidRDefault="00F749A6" w:rsidP="00F749A6">
      <w:pPr>
        <w:numPr>
          <w:ilvl w:val="0"/>
          <w:numId w:val="2"/>
        </w:numPr>
        <w:shd w:val="clear" w:color="auto" w:fill="FFFFFF"/>
        <w:spacing w:beforeAutospacing="1" w:after="0" w:afterAutospacing="1" w:line="360" w:lineRule="atLeast"/>
        <w:ind w:left="0"/>
        <w:rPr>
          <w:rFonts w:ascii="Calibri" w:eastAsia="Times New Roman" w:hAnsi="Calibri" w:cs="Calibri"/>
          <w:color w:val="000000"/>
          <w:sz w:val="24"/>
          <w:szCs w:val="24"/>
          <w:lang w:eastAsia="ru-RU"/>
        </w:rPr>
      </w:pPr>
      <w:hyperlink r:id="rId6" w:history="1">
        <w:r w:rsidRPr="00F749A6">
          <w:rPr>
            <w:rFonts w:ascii="Calibri" w:eastAsia="Times New Roman" w:hAnsi="Calibri" w:cs="Calibri"/>
            <w:color w:val="0072BA"/>
            <w:sz w:val="24"/>
            <w:szCs w:val="24"/>
            <w:bdr w:val="none" w:sz="0" w:space="0" w:color="auto" w:frame="1"/>
            <w:lang w:eastAsia="ru-RU"/>
          </w:rPr>
          <w:t>Признание иностранных документов об образовании</w:t>
        </w:r>
      </w:hyperlink>
    </w:p>
    <w:p w:rsidR="00F749A6" w:rsidRPr="00F749A6" w:rsidRDefault="00F749A6" w:rsidP="00F749A6">
      <w:pPr>
        <w:shd w:val="clear" w:color="auto" w:fill="FFFFFF"/>
        <w:spacing w:after="0" w:line="288" w:lineRule="atLeast"/>
        <w:outlineLvl w:val="2"/>
        <w:rPr>
          <w:rFonts w:ascii="Times New Roman" w:eastAsia="Times New Roman" w:hAnsi="Times New Roman" w:cs="Times New Roman"/>
          <w:b/>
          <w:bCs/>
          <w:color w:val="000000"/>
          <w:sz w:val="30"/>
          <w:szCs w:val="30"/>
          <w:lang w:eastAsia="ru-RU"/>
        </w:rPr>
      </w:pPr>
      <w:r w:rsidRPr="00F749A6">
        <w:rPr>
          <w:rFonts w:ascii="Times New Roman" w:eastAsia="Times New Roman" w:hAnsi="Times New Roman" w:cs="Times New Roman"/>
          <w:b/>
          <w:bCs/>
          <w:color w:val="000000"/>
          <w:sz w:val="30"/>
          <w:szCs w:val="30"/>
          <w:lang w:eastAsia="ru-RU"/>
        </w:rPr>
        <w:t>Легализация иностранных документов об образовании</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Легализация – процедура, предусматривающая удостоверение подлинности подписи, полномочия лица, подписавшего документ, подлинности печати или штампа, которыми скреплён представленный на легализацию документ, и соответствия данного документа законодательству государства пребывания.</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 xml:space="preserve">Документы иностранных государств об образовании имеют на территории Российской Федерации законную силу в случае, если они легализованы, либо если требования легализации отменены в соответствии с государственным договором. Подробнее о видах легализации и необходимости легализации документов об образовании, выданных на </w:t>
      </w:r>
      <w:proofErr w:type="spellStart"/>
      <w:r w:rsidRPr="00F749A6">
        <w:rPr>
          <w:rFonts w:ascii="Calibri" w:eastAsia="Times New Roman" w:hAnsi="Calibri" w:cs="Calibri"/>
          <w:color w:val="000000"/>
          <w:sz w:val="24"/>
          <w:szCs w:val="24"/>
          <w:lang w:eastAsia="ru-RU"/>
        </w:rPr>
        <w:t>територрии</w:t>
      </w:r>
      <w:proofErr w:type="spellEnd"/>
      <w:r w:rsidRPr="00F749A6">
        <w:rPr>
          <w:rFonts w:ascii="Calibri" w:eastAsia="Times New Roman" w:hAnsi="Calibri" w:cs="Calibri"/>
          <w:color w:val="000000"/>
          <w:sz w:val="24"/>
          <w:szCs w:val="24"/>
          <w:lang w:eastAsia="ru-RU"/>
        </w:rPr>
        <w:t xml:space="preserve"> того или иного иностранного государства, можно узнать </w:t>
      </w:r>
      <w:hyperlink r:id="rId7" w:tgtFrame="_blank" w:history="1">
        <w:r w:rsidRPr="00F749A6">
          <w:rPr>
            <w:rFonts w:ascii="Calibri" w:eastAsia="Times New Roman" w:hAnsi="Calibri" w:cs="Calibri"/>
            <w:color w:val="0072BA"/>
            <w:sz w:val="24"/>
            <w:szCs w:val="24"/>
            <w:bdr w:val="none" w:sz="0" w:space="0" w:color="auto" w:frame="1"/>
            <w:lang w:eastAsia="ru-RU"/>
          </w:rPr>
          <w:t>на сайте ФГБУ «</w:t>
        </w:r>
        <w:proofErr w:type="spellStart"/>
        <w:r w:rsidRPr="00F749A6">
          <w:rPr>
            <w:rFonts w:ascii="Calibri" w:eastAsia="Times New Roman" w:hAnsi="Calibri" w:cs="Calibri"/>
            <w:color w:val="0072BA"/>
            <w:sz w:val="24"/>
            <w:szCs w:val="24"/>
            <w:bdr w:val="none" w:sz="0" w:space="0" w:color="auto" w:frame="1"/>
            <w:lang w:eastAsia="ru-RU"/>
          </w:rPr>
          <w:t>Главэкспертцентр</w:t>
        </w:r>
        <w:proofErr w:type="spellEnd"/>
        <w:r w:rsidRPr="00F749A6">
          <w:rPr>
            <w:rFonts w:ascii="Calibri" w:eastAsia="Times New Roman" w:hAnsi="Calibri" w:cs="Calibri"/>
            <w:color w:val="0072BA"/>
            <w:sz w:val="24"/>
            <w:szCs w:val="24"/>
            <w:bdr w:val="none" w:sz="0" w:space="0" w:color="auto" w:frame="1"/>
            <w:lang w:eastAsia="ru-RU"/>
          </w:rPr>
          <w:t>»</w:t>
        </w:r>
      </w:hyperlink>
      <w:r w:rsidRPr="00F749A6">
        <w:rPr>
          <w:rFonts w:ascii="Calibri" w:eastAsia="Times New Roman" w:hAnsi="Calibri" w:cs="Calibri"/>
          <w:color w:val="000000"/>
          <w:sz w:val="24"/>
          <w:szCs w:val="24"/>
          <w:lang w:eastAsia="ru-RU"/>
        </w:rPr>
        <w:t>.</w:t>
      </w:r>
    </w:p>
    <w:p w:rsidR="00F749A6" w:rsidRPr="00F749A6" w:rsidRDefault="00F749A6" w:rsidP="00F749A6">
      <w:pPr>
        <w:shd w:val="clear" w:color="auto" w:fill="FFFFFF"/>
        <w:spacing w:after="0" w:line="288" w:lineRule="atLeast"/>
        <w:outlineLvl w:val="2"/>
        <w:rPr>
          <w:rFonts w:ascii="Times New Roman" w:eastAsia="Times New Roman" w:hAnsi="Times New Roman" w:cs="Times New Roman"/>
          <w:b/>
          <w:bCs/>
          <w:color w:val="000000"/>
          <w:sz w:val="30"/>
          <w:szCs w:val="30"/>
          <w:lang w:eastAsia="ru-RU"/>
        </w:rPr>
      </w:pPr>
      <w:r w:rsidRPr="00F749A6">
        <w:rPr>
          <w:rFonts w:ascii="Times New Roman" w:eastAsia="Times New Roman" w:hAnsi="Times New Roman" w:cs="Times New Roman"/>
          <w:b/>
          <w:bCs/>
          <w:color w:val="000000"/>
          <w:sz w:val="30"/>
          <w:szCs w:val="30"/>
          <w:lang w:eastAsia="ru-RU"/>
        </w:rPr>
        <w:t>Признание иностранного образования в Российской Федерации</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Признание – официальное подтверждение значимости (уровня) полученных в иностранном государстве образования и (или) квалификации с предоставлением их обладателю академических, профессиональных и (или) иных прав.</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Документ иностранного государства об образовании даёт право на получение образования в Российской Федерации в случае, если он признан в установленном порядке, либо если требования признания отменены в соответствии с государственным договором. Подробнее о процедуре признания можно узнать </w:t>
      </w:r>
      <w:hyperlink r:id="rId8" w:tgtFrame="_blank" w:history="1">
        <w:r w:rsidRPr="00F749A6">
          <w:rPr>
            <w:rFonts w:ascii="Calibri" w:eastAsia="Times New Roman" w:hAnsi="Calibri" w:cs="Calibri"/>
            <w:color w:val="0072BA"/>
            <w:sz w:val="24"/>
            <w:szCs w:val="24"/>
            <w:bdr w:val="none" w:sz="0" w:space="0" w:color="auto" w:frame="1"/>
            <w:lang w:eastAsia="ru-RU"/>
          </w:rPr>
          <w:t>на сайте ФГБУ «</w:t>
        </w:r>
        <w:proofErr w:type="spellStart"/>
        <w:r w:rsidRPr="00F749A6">
          <w:rPr>
            <w:rFonts w:ascii="Calibri" w:eastAsia="Times New Roman" w:hAnsi="Calibri" w:cs="Calibri"/>
            <w:color w:val="0072BA"/>
            <w:sz w:val="24"/>
            <w:szCs w:val="24"/>
            <w:bdr w:val="none" w:sz="0" w:space="0" w:color="auto" w:frame="1"/>
            <w:lang w:eastAsia="ru-RU"/>
          </w:rPr>
          <w:t>Главэкспертцентр</w:t>
        </w:r>
        <w:proofErr w:type="spellEnd"/>
        <w:r w:rsidRPr="00F749A6">
          <w:rPr>
            <w:rFonts w:ascii="Calibri" w:eastAsia="Times New Roman" w:hAnsi="Calibri" w:cs="Calibri"/>
            <w:color w:val="0072BA"/>
            <w:sz w:val="24"/>
            <w:szCs w:val="24"/>
            <w:bdr w:val="none" w:sz="0" w:space="0" w:color="auto" w:frame="1"/>
            <w:lang w:eastAsia="ru-RU"/>
          </w:rPr>
          <w:t>»</w:t>
        </w:r>
      </w:hyperlink>
      <w:r w:rsidRPr="00F749A6">
        <w:rPr>
          <w:rFonts w:ascii="Calibri" w:eastAsia="Times New Roman" w:hAnsi="Calibri" w:cs="Calibri"/>
          <w:color w:val="000000"/>
          <w:sz w:val="24"/>
          <w:szCs w:val="24"/>
          <w:lang w:eastAsia="ru-RU"/>
        </w:rPr>
        <w:t>.</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Лица, постоянно проживающие в Крыму, имеющие документы об образовании, документы об учёных степенях и учёных званиях, образцы которых утверждены Кабинетом Министров Украины, освобождены от требований по их легализации и требований по признанию указанного в них образования в соответствии со статьёй 6 Федерального закона от 05 мая 2014 года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При необходимости Вы можете обратиться за дополнительной консультацией по вопросам легализации и признания в отдел «Приёмная комиссия» Университета либо в </w:t>
      </w:r>
      <w:hyperlink r:id="rId9" w:tgtFrame="_blank" w:history="1">
        <w:r w:rsidRPr="00F749A6">
          <w:rPr>
            <w:rFonts w:ascii="Calibri" w:eastAsia="Times New Roman" w:hAnsi="Calibri" w:cs="Calibri"/>
            <w:color w:val="0072BA"/>
            <w:sz w:val="24"/>
            <w:szCs w:val="24"/>
            <w:bdr w:val="none" w:sz="0" w:space="0" w:color="auto" w:frame="1"/>
            <w:lang w:eastAsia="ru-RU"/>
          </w:rPr>
          <w:t>ФГБУ «</w:t>
        </w:r>
        <w:proofErr w:type="spellStart"/>
        <w:r w:rsidRPr="00F749A6">
          <w:rPr>
            <w:rFonts w:ascii="Calibri" w:eastAsia="Times New Roman" w:hAnsi="Calibri" w:cs="Calibri"/>
            <w:color w:val="0072BA"/>
            <w:sz w:val="24"/>
            <w:szCs w:val="24"/>
            <w:bdr w:val="none" w:sz="0" w:space="0" w:color="auto" w:frame="1"/>
            <w:lang w:eastAsia="ru-RU"/>
          </w:rPr>
          <w:t>Главэкспертцентр</w:t>
        </w:r>
        <w:proofErr w:type="spellEnd"/>
        <w:r w:rsidRPr="00F749A6">
          <w:rPr>
            <w:rFonts w:ascii="Calibri" w:eastAsia="Times New Roman" w:hAnsi="Calibri" w:cs="Calibri"/>
            <w:color w:val="0072BA"/>
            <w:sz w:val="24"/>
            <w:szCs w:val="24"/>
            <w:bdr w:val="none" w:sz="0" w:space="0" w:color="auto" w:frame="1"/>
            <w:lang w:eastAsia="ru-RU"/>
          </w:rPr>
          <w:t>»</w:t>
        </w:r>
      </w:hyperlink>
      <w:r w:rsidRPr="00F749A6">
        <w:rPr>
          <w:rFonts w:ascii="Calibri" w:eastAsia="Times New Roman" w:hAnsi="Calibri" w:cs="Calibri"/>
          <w:color w:val="000000"/>
          <w:sz w:val="24"/>
          <w:szCs w:val="24"/>
          <w:lang w:eastAsia="ru-RU"/>
        </w:rPr>
        <w:t>.</w:t>
      </w:r>
    </w:p>
    <w:p w:rsidR="00F749A6" w:rsidRPr="00F749A6" w:rsidRDefault="00F749A6" w:rsidP="00F749A6">
      <w:pPr>
        <w:spacing w:after="0" w:line="240" w:lineRule="auto"/>
        <w:rPr>
          <w:rFonts w:ascii="Times New Roman" w:eastAsia="Times New Roman" w:hAnsi="Times New Roman" w:cs="Times New Roman"/>
          <w:sz w:val="24"/>
          <w:szCs w:val="24"/>
          <w:lang w:eastAsia="ru-RU"/>
        </w:rPr>
      </w:pPr>
      <w:r w:rsidRPr="00F749A6">
        <w:rPr>
          <w:rFonts w:ascii="Calibri" w:eastAsia="Times New Roman" w:hAnsi="Calibri" w:cs="Calibri"/>
          <w:color w:val="000000"/>
          <w:sz w:val="24"/>
          <w:szCs w:val="24"/>
          <w:lang w:eastAsia="ru-RU"/>
        </w:rPr>
        <w:br/>
      </w:r>
    </w:p>
    <w:p w:rsidR="00F749A6" w:rsidRPr="00F749A6" w:rsidRDefault="00F749A6" w:rsidP="00F749A6">
      <w:pPr>
        <w:numPr>
          <w:ilvl w:val="0"/>
          <w:numId w:val="3"/>
        </w:numPr>
        <w:shd w:val="clear" w:color="auto" w:fill="FFFFFF"/>
        <w:spacing w:beforeAutospacing="1" w:after="0" w:afterAutospacing="1" w:line="360" w:lineRule="atLeast"/>
        <w:ind w:left="0"/>
        <w:rPr>
          <w:rFonts w:ascii="Calibri" w:eastAsia="Times New Roman" w:hAnsi="Calibri" w:cs="Calibri"/>
          <w:color w:val="000000"/>
          <w:sz w:val="24"/>
          <w:szCs w:val="24"/>
          <w:lang w:eastAsia="ru-RU"/>
        </w:rPr>
      </w:pPr>
      <w:hyperlink r:id="rId10" w:history="1">
        <w:r w:rsidRPr="00F749A6">
          <w:rPr>
            <w:rFonts w:ascii="Calibri" w:eastAsia="Times New Roman" w:hAnsi="Calibri" w:cs="Calibri"/>
            <w:color w:val="0072BA"/>
            <w:sz w:val="24"/>
            <w:szCs w:val="24"/>
            <w:bdr w:val="none" w:sz="0" w:space="0" w:color="auto" w:frame="1"/>
            <w:lang w:eastAsia="ru-RU"/>
          </w:rPr>
          <w:t>Пребывание на территории Российской Федерации</w:t>
        </w:r>
      </w:hyperlink>
    </w:p>
    <w:p w:rsidR="00F749A6" w:rsidRPr="00F749A6" w:rsidRDefault="00F749A6" w:rsidP="00F749A6">
      <w:pPr>
        <w:shd w:val="clear" w:color="auto" w:fill="FFFFFF"/>
        <w:spacing w:after="0" w:line="288" w:lineRule="atLeast"/>
        <w:outlineLvl w:val="2"/>
        <w:rPr>
          <w:rFonts w:ascii="Times New Roman" w:eastAsia="Times New Roman" w:hAnsi="Times New Roman" w:cs="Times New Roman"/>
          <w:b/>
          <w:bCs/>
          <w:color w:val="000000"/>
          <w:sz w:val="30"/>
          <w:szCs w:val="30"/>
          <w:lang w:eastAsia="ru-RU"/>
        </w:rPr>
      </w:pPr>
      <w:r w:rsidRPr="00F749A6">
        <w:rPr>
          <w:rFonts w:ascii="Times New Roman" w:eastAsia="Times New Roman" w:hAnsi="Times New Roman" w:cs="Times New Roman"/>
          <w:b/>
          <w:bCs/>
          <w:color w:val="000000"/>
          <w:sz w:val="30"/>
          <w:szCs w:val="30"/>
          <w:lang w:eastAsia="ru-RU"/>
        </w:rPr>
        <w:lastRenderedPageBreak/>
        <w:t>Миграционный учет иностранных граждан</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Постановка на миграционный учёт обязательна для всех иностранных граждан, пересекающих границу Российской Федерации.</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При въезде на территорию Российской Федерации (при пересечении границы) необходимо заполнить миграционную карту и иметь её при себе в течение всего срока пребывания на территории Российской Федерации.</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По прибытии к месту учёбы необходимо сразу же встать на миграционный учет в Управлении по вопросам миграции. Постановка на миграционный учёт иностранных граждан на территории Российской Федерации осуществляется по месту пребывания:</w:t>
      </w:r>
    </w:p>
    <w:p w:rsidR="00F749A6" w:rsidRPr="00F749A6" w:rsidRDefault="00F749A6" w:rsidP="00F749A6">
      <w:pPr>
        <w:numPr>
          <w:ilvl w:val="1"/>
          <w:numId w:val="3"/>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если поступающий (а также сопровождающие его лица) в период проведения приёмной кампании проживает в общежитии Университета, то постановку на миграционный учёт осуществляет сектор сопровождения иностранных обучающихся центра международного сотрудничества Университета (</w:t>
      </w:r>
      <w:proofErr w:type="spellStart"/>
      <w:r w:rsidRPr="00F749A6">
        <w:rPr>
          <w:rFonts w:ascii="Calibri" w:eastAsia="Times New Roman" w:hAnsi="Calibri" w:cs="Calibri"/>
          <w:color w:val="000000"/>
          <w:sz w:val="24"/>
          <w:szCs w:val="24"/>
          <w:lang w:eastAsia="ru-RU"/>
        </w:rPr>
        <w:t>пр.Космонавтов</w:t>
      </w:r>
      <w:proofErr w:type="spellEnd"/>
      <w:r w:rsidRPr="00F749A6">
        <w:rPr>
          <w:rFonts w:ascii="Calibri" w:eastAsia="Times New Roman" w:hAnsi="Calibri" w:cs="Calibri"/>
          <w:color w:val="000000"/>
          <w:sz w:val="24"/>
          <w:szCs w:val="24"/>
          <w:lang w:eastAsia="ru-RU"/>
        </w:rPr>
        <w:t>, д.26, каб.270). При этом поступающему в день обращения в приёмную комиссию необходимо обратиться в общежитие № 1 Университета, заключить договор о найме жилого помещения, оплатить указанный в договоре период проживания, затем представить в сектор сопровождения иностранных обучающихся центра международного сотрудничества Университета:</w:t>
      </w:r>
    </w:p>
    <w:p w:rsidR="00F749A6" w:rsidRPr="00F749A6" w:rsidRDefault="00F749A6" w:rsidP="00F749A6">
      <w:pPr>
        <w:numPr>
          <w:ilvl w:val="2"/>
          <w:numId w:val="3"/>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оригинал документа, удостоверяющего личность, по которому осуществлён въезд на территорию Российской Федерации,</w:t>
      </w:r>
    </w:p>
    <w:p w:rsidR="00F749A6" w:rsidRPr="00F749A6" w:rsidRDefault="00F749A6" w:rsidP="00F749A6">
      <w:pPr>
        <w:numPr>
          <w:ilvl w:val="2"/>
          <w:numId w:val="3"/>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оригинал миграционной карты,</w:t>
      </w:r>
    </w:p>
    <w:p w:rsidR="00F749A6" w:rsidRPr="00F749A6" w:rsidRDefault="00F749A6" w:rsidP="00F749A6">
      <w:pPr>
        <w:numPr>
          <w:ilvl w:val="2"/>
          <w:numId w:val="3"/>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оригинал договора о найме жилого помещения, заключённого в дирекции студенческого городка Университета.</w:t>
      </w:r>
    </w:p>
    <w:p w:rsidR="00F749A6" w:rsidRPr="00F749A6" w:rsidRDefault="00F749A6" w:rsidP="00F749A6">
      <w:pPr>
        <w:numPr>
          <w:ilvl w:val="1"/>
          <w:numId w:val="3"/>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если поступающий (а также сопровождающие его лица) в период проведения приёмной кампании проживает в гостинице, то постановку на миграционный учёт осуществляет администрация гостиницы;</w:t>
      </w:r>
    </w:p>
    <w:p w:rsidR="00F749A6" w:rsidRPr="00F749A6" w:rsidRDefault="00F749A6" w:rsidP="00F749A6">
      <w:pPr>
        <w:numPr>
          <w:ilvl w:val="1"/>
          <w:numId w:val="3"/>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если абитуриент (а также сопровождающие его лица) в период проведения приёмной кампании проживает у родственников или знакомых, то постановку на миграционный учёт осуществляет собственник жилья;</w:t>
      </w:r>
    </w:p>
    <w:p w:rsidR="00F749A6" w:rsidRPr="00F749A6" w:rsidRDefault="00F749A6" w:rsidP="00F749A6">
      <w:pPr>
        <w:numPr>
          <w:ilvl w:val="1"/>
          <w:numId w:val="3"/>
        </w:numPr>
        <w:shd w:val="clear" w:color="auto" w:fill="FFFFFF"/>
        <w:spacing w:before="100" w:beforeAutospacing="1" w:after="100" w:afterAutospacing="1"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если абитуриент (а также сопровождающие его лица) в период проведения приёмной кампании проживает в съемной квартире (комнате), то постановку на миграционный учёт осуществляет собственник жилья.</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В соответствии с миграционным законодательством Российской Федерации, все иностранные граждане подлежат постановке на миграционный учёт по месту пребывания в течение 7 рабочих дней.</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 xml:space="preserve">Нарушение правил миграционного учёта влечёт за собой наложение на иностранного гражданина административной ответственности в виде штрафа в размере от 2000 до 5000 рублей, а в отдельных случаях выдворение за пределы Российской Федерации. При этом </w:t>
      </w:r>
      <w:r w:rsidRPr="00F749A6">
        <w:rPr>
          <w:rFonts w:ascii="Calibri" w:eastAsia="Times New Roman" w:hAnsi="Calibri" w:cs="Calibri"/>
          <w:color w:val="000000"/>
          <w:sz w:val="24"/>
          <w:szCs w:val="24"/>
          <w:lang w:eastAsia="ru-RU"/>
        </w:rPr>
        <w:lastRenderedPageBreak/>
        <w:t>иностранному гражданину, подвергшемуся административному выдворению, въезд в Российскую Федерацию может быть закрыт на срок до пяти лет.</w:t>
      </w:r>
    </w:p>
    <w:p w:rsidR="00F749A6" w:rsidRPr="00F749A6" w:rsidRDefault="00F749A6" w:rsidP="00F749A6">
      <w:pPr>
        <w:shd w:val="clear" w:color="auto" w:fill="FFFFFF"/>
        <w:spacing w:after="0" w:line="288" w:lineRule="atLeast"/>
        <w:outlineLvl w:val="2"/>
        <w:rPr>
          <w:rFonts w:ascii="Times New Roman" w:eastAsia="Times New Roman" w:hAnsi="Times New Roman" w:cs="Times New Roman"/>
          <w:b/>
          <w:bCs/>
          <w:color w:val="000000"/>
          <w:sz w:val="30"/>
          <w:szCs w:val="30"/>
          <w:lang w:eastAsia="ru-RU"/>
        </w:rPr>
      </w:pPr>
      <w:r w:rsidRPr="00F749A6">
        <w:rPr>
          <w:rFonts w:ascii="Times New Roman" w:eastAsia="Times New Roman" w:hAnsi="Times New Roman" w:cs="Times New Roman"/>
          <w:b/>
          <w:bCs/>
          <w:color w:val="000000"/>
          <w:sz w:val="30"/>
          <w:szCs w:val="30"/>
          <w:lang w:eastAsia="ru-RU"/>
        </w:rPr>
        <w:t>Визовый режим въезда в Российскую Федерацию</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Данный раздел предназначен для информирования поступающих в Университет граждан государств, для которых установлен визовый режим въезда на территорию Российской Федерации, о порядке оформления приглашения на въезд на территорию Российской Федерации.</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Для получения приглашения от Университета на въезд на территорию Российской Федерации с целью обучения иностранный гражданин предоставляет в сектор сопровождения иностранных обучающихся центра международного сотрудничества Университета:</w:t>
      </w:r>
    </w:p>
    <w:p w:rsidR="00F749A6" w:rsidRPr="00F749A6" w:rsidRDefault="00F749A6" w:rsidP="00F749A6">
      <w:pPr>
        <w:numPr>
          <w:ilvl w:val="1"/>
          <w:numId w:val="3"/>
        </w:numPr>
        <w:shd w:val="clear" w:color="auto" w:fill="FFFFFF"/>
        <w:spacing w:after="0"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копию первой страницы паспорта, срок действия которого на момент обращения в сектор сопровождения иностранных обучающихся не должен составлять менее 18 месяцев;</w:t>
      </w:r>
    </w:p>
    <w:p w:rsidR="00F749A6" w:rsidRPr="00F749A6" w:rsidRDefault="00F749A6" w:rsidP="00F749A6">
      <w:pPr>
        <w:numPr>
          <w:ilvl w:val="1"/>
          <w:numId w:val="3"/>
        </w:numPr>
        <w:shd w:val="clear" w:color="auto" w:fill="FFFFFF"/>
        <w:spacing w:after="0" w:line="360" w:lineRule="atLeast"/>
        <w:ind w:left="0"/>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заполненную визовую анкету на русском и английском языках.</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bdr w:val="none" w:sz="0" w:space="0" w:color="auto" w:frame="1"/>
          <w:lang w:eastAsia="ru-RU"/>
        </w:rPr>
        <w:t>Оформление приглашения с момента подачи документов в Главное управление Министерства внутренних дел России по Свердловской области занимает 15 рабочих дней, поэтому все указанные документы необходимо предоставить не позднее чем за 30 дней до желаемой даты въезда на территорию Российской Федерации.</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Готовое приглашение на въезд на территорию Российской Федерации направляется иностранному гражданину в форме электронного документа на адрес электронной почты.</w:t>
      </w:r>
    </w:p>
    <w:p w:rsidR="00F749A6" w:rsidRPr="00F749A6" w:rsidRDefault="00F749A6" w:rsidP="00F749A6">
      <w:pPr>
        <w:shd w:val="clear" w:color="auto" w:fill="FFFFFF"/>
        <w:spacing w:after="0" w:line="360" w:lineRule="atLeast"/>
        <w:jc w:val="both"/>
        <w:rPr>
          <w:rFonts w:ascii="Calibri" w:eastAsia="Times New Roman" w:hAnsi="Calibri" w:cs="Calibri"/>
          <w:color w:val="000000"/>
          <w:sz w:val="24"/>
          <w:szCs w:val="24"/>
          <w:lang w:eastAsia="ru-RU"/>
        </w:rPr>
      </w:pPr>
      <w:r w:rsidRPr="00F749A6">
        <w:rPr>
          <w:rFonts w:ascii="Calibri" w:eastAsia="Times New Roman" w:hAnsi="Calibri" w:cs="Calibri"/>
          <w:color w:val="000000"/>
          <w:sz w:val="24"/>
          <w:szCs w:val="24"/>
          <w:lang w:eastAsia="ru-RU"/>
        </w:rPr>
        <w:t>После получения приглашения для оформления визы иностранному гражданину необходимо обратиться в Консульское представительство Посольства Российской Федерации для дальнейшего самостоятельного оформления визы.</w:t>
      </w:r>
    </w:p>
    <w:p w:rsidR="0029280E" w:rsidRDefault="0029280E">
      <w:bookmarkStart w:id="0" w:name="_GoBack"/>
      <w:bookmarkEnd w:id="0"/>
    </w:p>
    <w:sectPr w:rsidR="00292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7BE9"/>
    <w:multiLevelType w:val="multilevel"/>
    <w:tmpl w:val="EC84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B0658"/>
    <w:multiLevelType w:val="multilevel"/>
    <w:tmpl w:val="FAAC5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37169"/>
    <w:multiLevelType w:val="multilevel"/>
    <w:tmpl w:val="29D8A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9F"/>
    <w:rsid w:val="0003429F"/>
    <w:rsid w:val="0029280E"/>
    <w:rsid w:val="00F7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0F93B-6E69-41ED-BD0F-C35A9F33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4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749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9A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749A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74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4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1688">
      <w:bodyDiv w:val="1"/>
      <w:marLeft w:val="0"/>
      <w:marRight w:val="0"/>
      <w:marTop w:val="0"/>
      <w:marBottom w:val="0"/>
      <w:divBdr>
        <w:top w:val="none" w:sz="0" w:space="0" w:color="auto"/>
        <w:left w:val="none" w:sz="0" w:space="0" w:color="auto"/>
        <w:bottom w:val="none" w:sz="0" w:space="0" w:color="auto"/>
        <w:right w:val="none" w:sz="0" w:space="0" w:color="auto"/>
      </w:divBdr>
      <w:divsChild>
        <w:div w:id="87040859">
          <w:marLeft w:val="0"/>
          <w:marRight w:val="0"/>
          <w:marTop w:val="0"/>
          <w:marBottom w:val="375"/>
          <w:divBdr>
            <w:top w:val="none" w:sz="0" w:space="0" w:color="auto"/>
            <w:left w:val="none" w:sz="0" w:space="0" w:color="auto"/>
            <w:bottom w:val="none" w:sz="0" w:space="0" w:color="auto"/>
            <w:right w:val="none" w:sz="0" w:space="0" w:color="auto"/>
          </w:divBdr>
        </w:div>
        <w:div w:id="2030838740">
          <w:marLeft w:val="0"/>
          <w:marRight w:val="0"/>
          <w:marTop w:val="375"/>
          <w:marBottom w:val="0"/>
          <w:divBdr>
            <w:top w:val="none" w:sz="0" w:space="0" w:color="auto"/>
            <w:left w:val="none" w:sz="0" w:space="0" w:color="auto"/>
            <w:bottom w:val="none" w:sz="0" w:space="0" w:color="auto"/>
            <w:right w:val="none" w:sz="0" w:space="0" w:color="auto"/>
          </w:divBdr>
          <w:divsChild>
            <w:div w:id="240725699">
              <w:marLeft w:val="0"/>
              <w:marRight w:val="0"/>
              <w:marTop w:val="0"/>
              <w:marBottom w:val="0"/>
              <w:divBdr>
                <w:top w:val="none" w:sz="0" w:space="0" w:color="auto"/>
                <w:left w:val="none" w:sz="0" w:space="0" w:color="auto"/>
                <w:bottom w:val="none" w:sz="0" w:space="0" w:color="auto"/>
                <w:right w:val="none" w:sz="0" w:space="0" w:color="auto"/>
              </w:divBdr>
            </w:div>
          </w:divsChild>
        </w:div>
        <w:div w:id="1744982128">
          <w:marLeft w:val="0"/>
          <w:marRight w:val="0"/>
          <w:marTop w:val="375"/>
          <w:marBottom w:val="0"/>
          <w:divBdr>
            <w:top w:val="none" w:sz="0" w:space="0" w:color="auto"/>
            <w:left w:val="none" w:sz="0" w:space="0" w:color="auto"/>
            <w:bottom w:val="none" w:sz="0" w:space="0" w:color="auto"/>
            <w:right w:val="none" w:sz="0" w:space="0" w:color="auto"/>
          </w:divBdr>
        </w:div>
        <w:div w:id="1403336801">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c.gov.ru/ru/proc/nic" TargetMode="External"/><Relationship Id="rId3" Type="http://schemas.openxmlformats.org/officeDocument/2006/relationships/settings" Target="settings.xml"/><Relationship Id="rId7" Type="http://schemas.openxmlformats.org/officeDocument/2006/relationships/hyperlink" Target="http://nic.gov.ru/ru/proc/leg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pu.ru/abitur/inostrannoe-grazhdanstvo-i-obrazovanie/" TargetMode="External"/><Relationship Id="rId11" Type="http://schemas.openxmlformats.org/officeDocument/2006/relationships/fontTable" Target="fontTable.xml"/><Relationship Id="rId5" Type="http://schemas.openxmlformats.org/officeDocument/2006/relationships/hyperlink" Target="https://uspu.ru/abitur/inostrannoe-grazhdanstvo-i-obrazovanie/" TargetMode="External"/><Relationship Id="rId10" Type="http://schemas.openxmlformats.org/officeDocument/2006/relationships/hyperlink" Target="https://uspu.ru/abitur/inostrannoe-grazhdanstvo-i-obrazovanie/" TargetMode="External"/><Relationship Id="rId4" Type="http://schemas.openxmlformats.org/officeDocument/2006/relationships/webSettings" Target="webSettings.xml"/><Relationship Id="rId9" Type="http://schemas.openxmlformats.org/officeDocument/2006/relationships/hyperlink" Target="http://nic.gov.ru/ru/nic/m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1950</Words>
  <Characters>11116</Characters>
  <Application>Microsoft Office Word</Application>
  <DocSecurity>0</DocSecurity>
  <Lines>92</Lines>
  <Paragraphs>26</Paragraphs>
  <ScaleCrop>false</ScaleCrop>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2025-10-20T10:15:00Z</dcterms:created>
  <dcterms:modified xsi:type="dcterms:W3CDTF">2025-10-20T10:16:00Z</dcterms:modified>
</cp:coreProperties>
</file>